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131" w:rsidRPr="00B649A4" w:rsidRDefault="00264131" w:rsidP="00264131">
      <w:pPr>
        <w:pStyle w:val="BodyText"/>
        <w:jc w:val="center"/>
        <w:rPr>
          <w:sz w:val="24"/>
          <w:szCs w:val="24"/>
        </w:rPr>
      </w:pPr>
      <w:r w:rsidRPr="00B649A4">
        <w:rPr>
          <w:sz w:val="24"/>
          <w:szCs w:val="24"/>
        </w:rPr>
        <w:t>Naming Opportunity</w:t>
      </w:r>
    </w:p>
    <w:p w:rsidR="00264131" w:rsidRPr="00B649A4" w:rsidRDefault="00B649A4" w:rsidP="00264131">
      <w:pPr>
        <w:pStyle w:val="BodyText"/>
        <w:jc w:val="center"/>
        <w:rPr>
          <w:sz w:val="24"/>
          <w:szCs w:val="24"/>
        </w:rPr>
      </w:pPr>
      <w:r>
        <w:rPr>
          <w:bCs/>
          <w:sz w:val="24"/>
          <w:szCs w:val="24"/>
        </w:rPr>
        <w:t>Residential College Living-Learning Community</w:t>
      </w:r>
    </w:p>
    <w:p w:rsidR="00264131" w:rsidRPr="00B649A4" w:rsidRDefault="00264131" w:rsidP="00264131">
      <w:pPr>
        <w:pStyle w:val="BodyText"/>
        <w:jc w:val="center"/>
        <w:rPr>
          <w:sz w:val="24"/>
          <w:szCs w:val="24"/>
        </w:rPr>
      </w:pPr>
      <w:r w:rsidRPr="00B649A4">
        <w:rPr>
          <w:sz w:val="24"/>
          <w:szCs w:val="24"/>
        </w:rPr>
        <w:t>MU</w:t>
      </w:r>
    </w:p>
    <w:p w:rsidR="00264131" w:rsidRPr="00B649A4" w:rsidRDefault="00264131" w:rsidP="00264131">
      <w:pPr>
        <w:pStyle w:val="BodyText"/>
        <w:jc w:val="center"/>
        <w:rPr>
          <w:sz w:val="24"/>
          <w:szCs w:val="24"/>
        </w:rPr>
      </w:pPr>
    </w:p>
    <w:p w:rsidR="00264131" w:rsidRPr="00B649A4" w:rsidRDefault="00264131" w:rsidP="00264131">
      <w:pPr>
        <w:pStyle w:val="BodyText"/>
        <w:jc w:val="center"/>
        <w:rPr>
          <w:sz w:val="24"/>
          <w:szCs w:val="24"/>
        </w:rPr>
      </w:pPr>
    </w:p>
    <w:p w:rsidR="00B649A4" w:rsidRPr="00B649A4" w:rsidRDefault="00B649A4" w:rsidP="00B649A4">
      <w:pPr>
        <w:jc w:val="both"/>
        <w:rPr>
          <w:sz w:val="24"/>
          <w:szCs w:val="24"/>
        </w:rPr>
      </w:pPr>
      <w:r w:rsidRPr="00B649A4">
        <w:rPr>
          <w:sz w:val="24"/>
          <w:szCs w:val="24"/>
        </w:rPr>
        <w:t xml:space="preserve">The University of Missouri-Columbia requests Board of Curator approval to name a newly established residential college </w:t>
      </w:r>
      <w:r w:rsidRPr="00B649A4">
        <w:rPr>
          <w:b/>
          <w:bCs/>
          <w:sz w:val="24"/>
          <w:szCs w:val="24"/>
        </w:rPr>
        <w:t>“The Kinder Institute Residential College.”</w:t>
      </w:r>
      <w:r w:rsidRPr="00B649A4">
        <w:rPr>
          <w:sz w:val="24"/>
          <w:szCs w:val="24"/>
        </w:rPr>
        <w:t xml:space="preserve"> Pursuant to CRR 110.081, the naming of academic units requires Board approval.  Under the circumstances of this naming, it is a close call whether the residential college is an “academic unit” requiring Board approval.  Nonetheless, in deference to the Board’s general authority to control outwardly facing names of buildings and academic units, MU seeks Board approval of the naming for the residential college, described in more detail below.</w:t>
      </w:r>
    </w:p>
    <w:p w:rsidR="00B649A4" w:rsidRPr="00B649A4" w:rsidRDefault="00B649A4" w:rsidP="00B649A4">
      <w:pPr>
        <w:jc w:val="both"/>
        <w:rPr>
          <w:sz w:val="24"/>
          <w:szCs w:val="24"/>
        </w:rPr>
      </w:pPr>
    </w:p>
    <w:p w:rsidR="00B649A4" w:rsidRPr="00B649A4" w:rsidRDefault="00B649A4" w:rsidP="00B649A4">
      <w:pPr>
        <w:jc w:val="both"/>
        <w:rPr>
          <w:sz w:val="24"/>
          <w:szCs w:val="24"/>
        </w:rPr>
      </w:pPr>
      <w:r w:rsidRPr="00B649A4">
        <w:rPr>
          <w:sz w:val="24"/>
          <w:szCs w:val="24"/>
        </w:rPr>
        <w:t xml:space="preserve">Conceived and proposed in collaboration with the College of Arts and Science and MU Residential Life, the Kinder Institute on Constitutional Democracy is launching a new undergraduate living-learning community in August 2019. There are currently 39 students signed up for this living-learning community, and our goal is to increase that number to 60 students in Fall 2020. </w:t>
      </w:r>
    </w:p>
    <w:p w:rsidR="00B649A4" w:rsidRPr="00B649A4" w:rsidRDefault="00B649A4" w:rsidP="00B649A4">
      <w:pPr>
        <w:jc w:val="both"/>
        <w:rPr>
          <w:sz w:val="24"/>
          <w:szCs w:val="24"/>
        </w:rPr>
      </w:pPr>
    </w:p>
    <w:p w:rsidR="00B649A4" w:rsidRPr="00B649A4" w:rsidRDefault="00B649A4" w:rsidP="00B649A4">
      <w:pPr>
        <w:jc w:val="both"/>
        <w:rPr>
          <w:sz w:val="24"/>
          <w:szCs w:val="24"/>
        </w:rPr>
      </w:pPr>
      <w:r w:rsidRPr="00B649A4">
        <w:rPr>
          <w:sz w:val="24"/>
          <w:szCs w:val="24"/>
        </w:rPr>
        <w:t xml:space="preserve">Members of this living-learning community will live together in a residence hall on campus; co-enroll in a series of first-year courses on the founding and early history of the United States; build a community through academic and extracurricular programming; and be introduced to the full breadth of the Kinder Institute’s undergraduate programming, including the recently-approved B.A. in Constitutional Democracy. Living-learning communities such as this aid in student recruitment and retention, and promote student success. </w:t>
      </w:r>
    </w:p>
    <w:p w:rsidR="00B649A4" w:rsidRPr="00B649A4" w:rsidRDefault="00B649A4" w:rsidP="00B649A4">
      <w:pPr>
        <w:jc w:val="both"/>
        <w:rPr>
          <w:sz w:val="24"/>
          <w:szCs w:val="24"/>
        </w:rPr>
      </w:pPr>
    </w:p>
    <w:p w:rsidR="00B649A4" w:rsidRPr="00B649A4" w:rsidRDefault="00B649A4" w:rsidP="00B649A4">
      <w:pPr>
        <w:jc w:val="both"/>
        <w:rPr>
          <w:sz w:val="24"/>
          <w:szCs w:val="24"/>
        </w:rPr>
      </w:pPr>
      <w:r w:rsidRPr="00B649A4">
        <w:rPr>
          <w:sz w:val="24"/>
          <w:szCs w:val="24"/>
        </w:rPr>
        <w:t xml:space="preserve">In order to appropriately brand this living-learning community with the Kinder Institute and thereby give us a competitive advantage in recruiting new students who are considering similar programs across the country, we propose to name this living-learning community the “Kinder Institute Residential College.” Doing so will promote the University’s strategic priority </w:t>
      </w:r>
      <w:r w:rsidRPr="00B649A4">
        <w:rPr>
          <w:sz w:val="24"/>
          <w:szCs w:val="24"/>
        </w:rPr>
        <w:t>of increasing</w:t>
      </w:r>
      <w:r w:rsidRPr="00B649A4">
        <w:rPr>
          <w:sz w:val="24"/>
          <w:szCs w:val="24"/>
        </w:rPr>
        <w:t xml:space="preserve"> excellence. </w:t>
      </w:r>
    </w:p>
    <w:p w:rsidR="00B649A4" w:rsidRPr="00B649A4" w:rsidRDefault="00B649A4" w:rsidP="00B649A4">
      <w:pPr>
        <w:jc w:val="both"/>
        <w:rPr>
          <w:sz w:val="24"/>
          <w:szCs w:val="24"/>
        </w:rPr>
      </w:pPr>
    </w:p>
    <w:p w:rsidR="00264131" w:rsidRPr="00B649A4" w:rsidRDefault="00B649A4" w:rsidP="00B649A4">
      <w:pPr>
        <w:widowControl/>
        <w:autoSpaceDE/>
        <w:autoSpaceDN/>
        <w:spacing w:after="160" w:line="259" w:lineRule="auto"/>
        <w:jc w:val="both"/>
        <w:rPr>
          <w:sz w:val="24"/>
          <w:szCs w:val="24"/>
        </w:rPr>
      </w:pPr>
      <w:r w:rsidRPr="00B649A4">
        <w:rPr>
          <w:sz w:val="24"/>
          <w:szCs w:val="24"/>
        </w:rPr>
        <w:t xml:space="preserve">University of Missouri System President Mun Choi, MU Chancellor Alexander Cartwright, and MU Provost </w:t>
      </w:r>
      <w:proofErr w:type="spellStart"/>
      <w:r w:rsidRPr="00B649A4">
        <w:rPr>
          <w:sz w:val="24"/>
          <w:szCs w:val="24"/>
        </w:rPr>
        <w:t>Latha</w:t>
      </w:r>
      <w:proofErr w:type="spellEnd"/>
      <w:r w:rsidRPr="00B649A4">
        <w:rPr>
          <w:sz w:val="24"/>
          <w:szCs w:val="24"/>
        </w:rPr>
        <w:t xml:space="preserve"> </w:t>
      </w:r>
      <w:proofErr w:type="spellStart"/>
      <w:r w:rsidRPr="00B649A4">
        <w:rPr>
          <w:sz w:val="24"/>
          <w:szCs w:val="24"/>
        </w:rPr>
        <w:t>Ramchand</w:t>
      </w:r>
      <w:proofErr w:type="spellEnd"/>
      <w:r w:rsidRPr="00B649A4">
        <w:rPr>
          <w:sz w:val="24"/>
          <w:szCs w:val="24"/>
        </w:rPr>
        <w:t xml:space="preserve">, are all in support of this naming. </w:t>
      </w:r>
      <w:r w:rsidR="00264131" w:rsidRPr="00B649A4">
        <w:rPr>
          <w:sz w:val="24"/>
          <w:szCs w:val="24"/>
        </w:rPr>
        <w:br w:type="page"/>
      </w:r>
    </w:p>
    <w:p w:rsidR="00B649A4" w:rsidRDefault="00B649A4" w:rsidP="00264131">
      <w:pPr>
        <w:pStyle w:val="BodyText"/>
        <w:ind w:right="-450"/>
        <w:rPr>
          <w:sz w:val="24"/>
          <w:szCs w:val="24"/>
        </w:rPr>
      </w:pPr>
      <w:r>
        <w:rPr>
          <w:sz w:val="24"/>
          <w:szCs w:val="24"/>
        </w:rPr>
        <w:lastRenderedPageBreak/>
        <w:t>No. 1</w:t>
      </w:r>
    </w:p>
    <w:p w:rsidR="00B649A4" w:rsidRDefault="00B649A4" w:rsidP="00264131">
      <w:pPr>
        <w:pStyle w:val="BodyText"/>
        <w:ind w:right="-450"/>
        <w:rPr>
          <w:sz w:val="24"/>
          <w:szCs w:val="24"/>
        </w:rPr>
      </w:pPr>
    </w:p>
    <w:p w:rsidR="00B649A4" w:rsidRDefault="00B649A4" w:rsidP="00264131">
      <w:pPr>
        <w:pStyle w:val="BodyText"/>
        <w:ind w:right="-450"/>
        <w:rPr>
          <w:sz w:val="24"/>
          <w:szCs w:val="24"/>
        </w:rPr>
      </w:pPr>
    </w:p>
    <w:p w:rsidR="00B649A4" w:rsidRDefault="00B649A4" w:rsidP="00264131">
      <w:pPr>
        <w:pStyle w:val="BodyText"/>
        <w:ind w:right="-450"/>
        <w:rPr>
          <w:sz w:val="24"/>
          <w:szCs w:val="24"/>
        </w:rPr>
      </w:pPr>
    </w:p>
    <w:p w:rsidR="00264131" w:rsidRPr="00B649A4" w:rsidRDefault="00264131" w:rsidP="00264131">
      <w:pPr>
        <w:pStyle w:val="BodyText"/>
        <w:ind w:right="-450"/>
        <w:rPr>
          <w:sz w:val="24"/>
          <w:szCs w:val="24"/>
        </w:rPr>
      </w:pPr>
      <w:r w:rsidRPr="00B649A4">
        <w:rPr>
          <w:sz w:val="24"/>
          <w:szCs w:val="24"/>
        </w:rPr>
        <w:t xml:space="preserve">Recommended Action - Naming Opportunity, </w:t>
      </w:r>
      <w:r w:rsidR="00B649A4">
        <w:rPr>
          <w:bCs/>
          <w:sz w:val="24"/>
          <w:szCs w:val="24"/>
        </w:rPr>
        <w:t>Residential College Living-Learning Community</w:t>
      </w:r>
      <w:r w:rsidRPr="00B649A4">
        <w:rPr>
          <w:sz w:val="24"/>
          <w:szCs w:val="24"/>
        </w:rPr>
        <w:t>, MU</w:t>
      </w:r>
    </w:p>
    <w:p w:rsidR="00264131" w:rsidRPr="00B649A4" w:rsidRDefault="00264131" w:rsidP="00264131">
      <w:pPr>
        <w:jc w:val="both"/>
        <w:rPr>
          <w:sz w:val="24"/>
          <w:szCs w:val="24"/>
        </w:rPr>
      </w:pPr>
    </w:p>
    <w:p w:rsidR="00264131" w:rsidRPr="00B649A4" w:rsidRDefault="00264131" w:rsidP="00264131">
      <w:pPr>
        <w:jc w:val="both"/>
        <w:rPr>
          <w:sz w:val="24"/>
          <w:szCs w:val="24"/>
        </w:rPr>
      </w:pPr>
    </w:p>
    <w:p w:rsidR="00264131" w:rsidRPr="00B649A4" w:rsidRDefault="00264131" w:rsidP="00264131">
      <w:pPr>
        <w:jc w:val="both"/>
        <w:rPr>
          <w:sz w:val="24"/>
          <w:szCs w:val="24"/>
        </w:rPr>
      </w:pPr>
    </w:p>
    <w:p w:rsidR="00264131" w:rsidRPr="00B649A4" w:rsidRDefault="00264131" w:rsidP="00264131">
      <w:pPr>
        <w:spacing w:line="360" w:lineRule="auto"/>
        <w:jc w:val="both"/>
        <w:rPr>
          <w:sz w:val="24"/>
          <w:szCs w:val="24"/>
        </w:rPr>
      </w:pPr>
      <w:r w:rsidRPr="00B649A4">
        <w:rPr>
          <w:sz w:val="24"/>
          <w:szCs w:val="24"/>
        </w:rPr>
        <w:tab/>
        <w:t>It was recommended by Chancellor Cartwright, endorsed by President Choi, moved by Curator _________________ and seconded by Curator ________________, that the following action be approved:</w:t>
      </w:r>
    </w:p>
    <w:p w:rsidR="00B649A4" w:rsidRPr="00B649A4" w:rsidRDefault="00B649A4" w:rsidP="00B649A4">
      <w:pPr>
        <w:rPr>
          <w:sz w:val="24"/>
          <w:szCs w:val="24"/>
        </w:rPr>
      </w:pPr>
    </w:p>
    <w:p w:rsidR="00264131" w:rsidRPr="00B649A4" w:rsidRDefault="00B649A4" w:rsidP="00B649A4">
      <w:pPr>
        <w:tabs>
          <w:tab w:val="right" w:pos="8640"/>
        </w:tabs>
        <w:ind w:left="720"/>
        <w:jc w:val="both"/>
        <w:rPr>
          <w:sz w:val="24"/>
          <w:szCs w:val="24"/>
        </w:rPr>
      </w:pPr>
      <w:r>
        <w:rPr>
          <w:sz w:val="24"/>
          <w:szCs w:val="24"/>
        </w:rPr>
        <w:t xml:space="preserve">that </w:t>
      </w:r>
      <w:r w:rsidRPr="00B649A4">
        <w:rPr>
          <w:sz w:val="24"/>
          <w:szCs w:val="24"/>
        </w:rPr>
        <w:t>the residential college recently established within the University of Missouri-Columbia Kinder Institute be named “The Kinder Institute Residential College.”</w:t>
      </w:r>
    </w:p>
    <w:p w:rsidR="00264131" w:rsidRPr="00B649A4" w:rsidRDefault="00264131" w:rsidP="00264131">
      <w:pPr>
        <w:pStyle w:val="BodyText"/>
        <w:rPr>
          <w:sz w:val="24"/>
          <w:szCs w:val="24"/>
        </w:rPr>
      </w:pPr>
      <w:r w:rsidRPr="00B649A4">
        <w:rPr>
          <w:sz w:val="24"/>
          <w:szCs w:val="24"/>
        </w:rPr>
        <w:tab/>
      </w:r>
    </w:p>
    <w:p w:rsidR="000A2F8D" w:rsidRPr="00B649A4" w:rsidRDefault="000A2F8D" w:rsidP="00264131">
      <w:pPr>
        <w:spacing w:line="360" w:lineRule="auto"/>
        <w:ind w:left="720"/>
        <w:jc w:val="both"/>
        <w:rPr>
          <w:sz w:val="24"/>
          <w:szCs w:val="24"/>
        </w:rPr>
      </w:pPr>
    </w:p>
    <w:p w:rsidR="00264131" w:rsidRPr="00B649A4" w:rsidRDefault="00264131" w:rsidP="00264131">
      <w:pPr>
        <w:spacing w:line="360" w:lineRule="auto"/>
        <w:ind w:left="720"/>
        <w:jc w:val="both"/>
        <w:rPr>
          <w:sz w:val="24"/>
          <w:szCs w:val="24"/>
        </w:rPr>
      </w:pPr>
      <w:r w:rsidRPr="00B649A4">
        <w:rPr>
          <w:sz w:val="24"/>
          <w:szCs w:val="24"/>
        </w:rPr>
        <w:t>Roll call vote of Board of Curators:</w:t>
      </w:r>
      <w:r w:rsidRPr="00B649A4">
        <w:rPr>
          <w:sz w:val="24"/>
          <w:szCs w:val="24"/>
        </w:rPr>
        <w:tab/>
      </w:r>
      <w:r w:rsidRPr="00B649A4">
        <w:rPr>
          <w:sz w:val="24"/>
          <w:szCs w:val="24"/>
        </w:rPr>
        <w:tab/>
      </w:r>
      <w:r w:rsidRPr="00B649A4">
        <w:rPr>
          <w:sz w:val="24"/>
          <w:szCs w:val="24"/>
        </w:rPr>
        <w:tab/>
      </w:r>
      <w:r w:rsidRPr="00B649A4">
        <w:rPr>
          <w:sz w:val="24"/>
          <w:szCs w:val="24"/>
        </w:rPr>
        <w:tab/>
        <w:t>YES</w:t>
      </w:r>
      <w:r w:rsidRPr="00B649A4">
        <w:rPr>
          <w:sz w:val="24"/>
          <w:szCs w:val="24"/>
        </w:rPr>
        <w:tab/>
      </w:r>
      <w:r w:rsidRPr="00B649A4">
        <w:rPr>
          <w:sz w:val="24"/>
          <w:szCs w:val="24"/>
        </w:rPr>
        <w:tab/>
        <w:t>NO</w:t>
      </w:r>
    </w:p>
    <w:p w:rsidR="00264131" w:rsidRPr="00B649A4" w:rsidRDefault="00264131" w:rsidP="00264131">
      <w:pPr>
        <w:spacing w:line="276" w:lineRule="auto"/>
        <w:ind w:left="720"/>
        <w:jc w:val="both"/>
        <w:rPr>
          <w:sz w:val="24"/>
          <w:szCs w:val="24"/>
        </w:rPr>
      </w:pPr>
      <w:r w:rsidRPr="00B649A4">
        <w:rPr>
          <w:sz w:val="24"/>
          <w:szCs w:val="24"/>
        </w:rPr>
        <w:t>Curator Brncic</w:t>
      </w:r>
    </w:p>
    <w:p w:rsidR="00264131" w:rsidRPr="00B649A4" w:rsidRDefault="00264131" w:rsidP="00264131">
      <w:pPr>
        <w:spacing w:line="276" w:lineRule="auto"/>
        <w:ind w:left="720"/>
        <w:jc w:val="both"/>
        <w:rPr>
          <w:sz w:val="24"/>
          <w:szCs w:val="24"/>
        </w:rPr>
      </w:pPr>
      <w:r w:rsidRPr="00B649A4">
        <w:rPr>
          <w:sz w:val="24"/>
          <w:szCs w:val="24"/>
        </w:rPr>
        <w:t>Curator Chatman</w:t>
      </w:r>
    </w:p>
    <w:p w:rsidR="00264131" w:rsidRPr="00B649A4" w:rsidRDefault="00264131" w:rsidP="00264131">
      <w:pPr>
        <w:spacing w:line="276" w:lineRule="auto"/>
        <w:ind w:left="720"/>
        <w:jc w:val="both"/>
        <w:rPr>
          <w:sz w:val="24"/>
          <w:szCs w:val="24"/>
        </w:rPr>
      </w:pPr>
      <w:r w:rsidRPr="00B649A4">
        <w:rPr>
          <w:sz w:val="24"/>
          <w:szCs w:val="24"/>
        </w:rPr>
        <w:t>Curator Farmer</w:t>
      </w:r>
    </w:p>
    <w:p w:rsidR="00264131" w:rsidRPr="00B649A4" w:rsidRDefault="00264131" w:rsidP="00264131">
      <w:pPr>
        <w:spacing w:line="276" w:lineRule="auto"/>
        <w:ind w:left="720"/>
        <w:jc w:val="both"/>
        <w:rPr>
          <w:sz w:val="24"/>
          <w:szCs w:val="24"/>
        </w:rPr>
      </w:pPr>
      <w:r w:rsidRPr="00B649A4">
        <w:rPr>
          <w:sz w:val="24"/>
          <w:szCs w:val="24"/>
        </w:rPr>
        <w:t>Curator Graham</w:t>
      </w:r>
    </w:p>
    <w:p w:rsidR="00264131" w:rsidRPr="00B649A4" w:rsidRDefault="00264131" w:rsidP="00264131">
      <w:pPr>
        <w:spacing w:line="276" w:lineRule="auto"/>
        <w:ind w:left="720"/>
        <w:jc w:val="both"/>
        <w:rPr>
          <w:sz w:val="24"/>
          <w:szCs w:val="24"/>
        </w:rPr>
      </w:pPr>
      <w:r w:rsidRPr="00B649A4">
        <w:rPr>
          <w:sz w:val="24"/>
          <w:szCs w:val="24"/>
        </w:rPr>
        <w:t>Curator Layman</w:t>
      </w:r>
    </w:p>
    <w:p w:rsidR="00264131" w:rsidRPr="00B649A4" w:rsidRDefault="00264131" w:rsidP="00264131">
      <w:pPr>
        <w:spacing w:line="276" w:lineRule="auto"/>
        <w:ind w:left="720"/>
        <w:jc w:val="both"/>
        <w:rPr>
          <w:sz w:val="24"/>
          <w:szCs w:val="24"/>
        </w:rPr>
      </w:pPr>
      <w:r w:rsidRPr="00B649A4">
        <w:rPr>
          <w:sz w:val="24"/>
          <w:szCs w:val="24"/>
        </w:rPr>
        <w:t>Curator Phillips</w:t>
      </w:r>
      <w:bookmarkStart w:id="0" w:name="_GoBack"/>
      <w:bookmarkEnd w:id="0"/>
    </w:p>
    <w:p w:rsidR="00264131" w:rsidRPr="00B649A4" w:rsidRDefault="00264131" w:rsidP="00264131">
      <w:pPr>
        <w:spacing w:line="276" w:lineRule="auto"/>
        <w:ind w:left="720"/>
        <w:jc w:val="both"/>
        <w:rPr>
          <w:sz w:val="24"/>
          <w:szCs w:val="24"/>
        </w:rPr>
      </w:pPr>
      <w:r w:rsidRPr="00B649A4">
        <w:rPr>
          <w:sz w:val="24"/>
          <w:szCs w:val="24"/>
        </w:rPr>
        <w:t>Curator Snowden</w:t>
      </w:r>
    </w:p>
    <w:p w:rsidR="00264131" w:rsidRPr="00B649A4" w:rsidRDefault="00264131" w:rsidP="00264131">
      <w:pPr>
        <w:spacing w:line="276" w:lineRule="auto"/>
        <w:ind w:left="720"/>
        <w:jc w:val="both"/>
        <w:rPr>
          <w:sz w:val="24"/>
          <w:szCs w:val="24"/>
        </w:rPr>
      </w:pPr>
      <w:r w:rsidRPr="00B649A4">
        <w:rPr>
          <w:sz w:val="24"/>
          <w:szCs w:val="24"/>
        </w:rPr>
        <w:t>Curator Steelman</w:t>
      </w:r>
    </w:p>
    <w:p w:rsidR="00264131" w:rsidRPr="00B649A4" w:rsidRDefault="00264131" w:rsidP="00264131">
      <w:pPr>
        <w:spacing w:line="276" w:lineRule="auto"/>
        <w:ind w:left="720"/>
        <w:jc w:val="both"/>
        <w:rPr>
          <w:sz w:val="24"/>
          <w:szCs w:val="24"/>
        </w:rPr>
      </w:pPr>
      <w:r w:rsidRPr="00B649A4">
        <w:rPr>
          <w:sz w:val="24"/>
          <w:szCs w:val="24"/>
        </w:rPr>
        <w:t>Curator Sundvold</w:t>
      </w:r>
    </w:p>
    <w:p w:rsidR="00264131" w:rsidRPr="00B649A4" w:rsidRDefault="00264131" w:rsidP="00264131">
      <w:pPr>
        <w:spacing w:line="360" w:lineRule="auto"/>
        <w:ind w:left="720"/>
        <w:jc w:val="both"/>
        <w:rPr>
          <w:sz w:val="24"/>
          <w:szCs w:val="24"/>
        </w:rPr>
      </w:pPr>
    </w:p>
    <w:p w:rsidR="00264131" w:rsidRPr="00B649A4" w:rsidRDefault="00264131" w:rsidP="00264131">
      <w:pPr>
        <w:ind w:left="720"/>
        <w:jc w:val="both"/>
        <w:rPr>
          <w:sz w:val="24"/>
          <w:szCs w:val="24"/>
        </w:rPr>
      </w:pPr>
      <w:r w:rsidRPr="00B649A4">
        <w:rPr>
          <w:sz w:val="24"/>
          <w:szCs w:val="24"/>
        </w:rPr>
        <w:t>The motion _____________________.</w:t>
      </w:r>
    </w:p>
    <w:p w:rsidR="00264131" w:rsidRPr="00B649A4" w:rsidRDefault="00264131" w:rsidP="00264131">
      <w:pPr>
        <w:jc w:val="both"/>
        <w:rPr>
          <w:sz w:val="24"/>
          <w:szCs w:val="24"/>
        </w:rPr>
      </w:pPr>
    </w:p>
    <w:p w:rsidR="008E66E6" w:rsidRPr="00B649A4" w:rsidRDefault="008E66E6" w:rsidP="00264131">
      <w:pPr>
        <w:rPr>
          <w:sz w:val="24"/>
          <w:szCs w:val="24"/>
        </w:rPr>
      </w:pPr>
    </w:p>
    <w:sectPr w:rsidR="008E66E6" w:rsidRPr="00B649A4" w:rsidSect="00B649A4">
      <w:footerReference w:type="default" r:id="rId6"/>
      <w:pgSz w:w="12240" w:h="15840" w:code="1"/>
      <w:pgMar w:top="1440" w:right="216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A30" w:rsidRDefault="00182A30">
      <w:r>
        <w:separator/>
      </w:r>
    </w:p>
  </w:endnote>
  <w:endnote w:type="continuationSeparator" w:id="0">
    <w:p w:rsidR="00182A30" w:rsidRDefault="0018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FB" w:rsidRPr="005241FB" w:rsidRDefault="00B649A4" w:rsidP="00B649A4">
    <w:pPr>
      <w:pStyle w:val="Footer"/>
      <w:jc w:val="right"/>
      <w:rPr>
        <w:sz w:val="20"/>
        <w:szCs w:val="20"/>
      </w:rPr>
    </w:pPr>
    <w:r>
      <w:rPr>
        <w:sz w:val="20"/>
        <w:szCs w:val="20"/>
      </w:rPr>
      <w:t>August</w:t>
    </w:r>
    <w:r w:rsidR="00A84ECF">
      <w:rPr>
        <w:sz w:val="20"/>
        <w:szCs w:val="20"/>
      </w:rPr>
      <w:t xml:space="preserve"> </w:t>
    </w:r>
    <w:r>
      <w:rPr>
        <w:sz w:val="20"/>
        <w:szCs w:val="20"/>
      </w:rPr>
      <w:t>8</w:t>
    </w:r>
    <w:r w:rsidR="00A84ECF">
      <w:rPr>
        <w:sz w:val="20"/>
        <w:szCs w:val="20"/>
      </w:rPr>
      <w:t>, 2019</w:t>
    </w:r>
  </w:p>
  <w:p w:rsidR="005241FB" w:rsidRPr="005241FB" w:rsidRDefault="008E66E6" w:rsidP="005241FB">
    <w:pPr>
      <w:pStyle w:val="Footer"/>
      <w:tabs>
        <w:tab w:val="clear" w:pos="4680"/>
        <w:tab w:val="center" w:pos="4320"/>
      </w:tabs>
      <w:jc w:val="center"/>
      <w:rPr>
        <w:sz w:val="24"/>
        <w:szCs w:val="24"/>
      </w:rPr>
    </w:pPr>
    <w:r w:rsidRPr="005241FB">
      <w:rPr>
        <w:sz w:val="24"/>
        <w:szCs w:val="24"/>
      </w:rPr>
      <w:t xml:space="preserve">OPEN – CONSENT – </w:t>
    </w:r>
    <w:r w:rsidR="00B649A4">
      <w:rPr>
        <w:sz w:val="24"/>
        <w:szCs w:val="24"/>
      </w:rPr>
      <w:t>1</w:t>
    </w:r>
    <w:r w:rsidR="00A84ECF">
      <w:rPr>
        <w:sz w:val="24"/>
        <w:szCs w:val="24"/>
      </w:rPr>
      <w:t>-</w:t>
    </w:r>
    <w:r w:rsidR="00A84ECF" w:rsidRPr="00A84ECF">
      <w:rPr>
        <w:sz w:val="24"/>
        <w:szCs w:val="24"/>
      </w:rPr>
      <w:fldChar w:fldCharType="begin"/>
    </w:r>
    <w:r w:rsidR="00A84ECF" w:rsidRPr="00A84ECF">
      <w:rPr>
        <w:sz w:val="24"/>
        <w:szCs w:val="24"/>
      </w:rPr>
      <w:instrText xml:space="preserve"> PAGE   \* MERGEFORMAT </w:instrText>
    </w:r>
    <w:r w:rsidR="00A84ECF" w:rsidRPr="00A84ECF">
      <w:rPr>
        <w:sz w:val="24"/>
        <w:szCs w:val="24"/>
      </w:rPr>
      <w:fldChar w:fldCharType="separate"/>
    </w:r>
    <w:r w:rsidR="0061593F">
      <w:rPr>
        <w:noProof/>
        <w:sz w:val="24"/>
        <w:szCs w:val="24"/>
      </w:rPr>
      <w:t>1</w:t>
    </w:r>
    <w:r w:rsidR="00A84ECF" w:rsidRPr="00A84ECF">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A30" w:rsidRDefault="00182A30">
      <w:r>
        <w:separator/>
      </w:r>
    </w:p>
  </w:footnote>
  <w:footnote w:type="continuationSeparator" w:id="0">
    <w:p w:rsidR="00182A30" w:rsidRDefault="00182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4E"/>
    <w:rsid w:val="000A2F8D"/>
    <w:rsid w:val="000C1585"/>
    <w:rsid w:val="00182A30"/>
    <w:rsid w:val="00264131"/>
    <w:rsid w:val="002C4EC4"/>
    <w:rsid w:val="002E0823"/>
    <w:rsid w:val="0032754E"/>
    <w:rsid w:val="00397D66"/>
    <w:rsid w:val="003B1821"/>
    <w:rsid w:val="005A3DA9"/>
    <w:rsid w:val="005F455D"/>
    <w:rsid w:val="00606B39"/>
    <w:rsid w:val="0061593F"/>
    <w:rsid w:val="0064318A"/>
    <w:rsid w:val="007E77F0"/>
    <w:rsid w:val="008E66E6"/>
    <w:rsid w:val="009B3CC2"/>
    <w:rsid w:val="009B68EF"/>
    <w:rsid w:val="00A84ECF"/>
    <w:rsid w:val="00AC7B05"/>
    <w:rsid w:val="00B649A4"/>
    <w:rsid w:val="00BE61DB"/>
    <w:rsid w:val="00D713C6"/>
    <w:rsid w:val="00E73B79"/>
    <w:rsid w:val="00F34157"/>
    <w:rsid w:val="00FC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2098"/>
  <w15:chartTrackingRefBased/>
  <w15:docId w15:val="{270C0E94-2868-4185-A0F2-DCFE5EFA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2754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754E"/>
    <w:rPr>
      <w:sz w:val="23"/>
      <w:szCs w:val="23"/>
    </w:rPr>
  </w:style>
  <w:style w:type="character" w:customStyle="1" w:styleId="BodyTextChar">
    <w:name w:val="Body Text Char"/>
    <w:basedOn w:val="DefaultParagraphFont"/>
    <w:link w:val="BodyText"/>
    <w:uiPriority w:val="1"/>
    <w:rsid w:val="0032754E"/>
    <w:rPr>
      <w:rFonts w:ascii="Times New Roman" w:eastAsia="Times New Roman" w:hAnsi="Times New Roman" w:cs="Times New Roman"/>
      <w:sz w:val="23"/>
      <w:szCs w:val="23"/>
    </w:rPr>
  </w:style>
  <w:style w:type="paragraph" w:styleId="Footer">
    <w:name w:val="footer"/>
    <w:basedOn w:val="Normal"/>
    <w:link w:val="FooterChar"/>
    <w:uiPriority w:val="99"/>
    <w:unhideWhenUsed/>
    <w:rsid w:val="0032754E"/>
    <w:pPr>
      <w:tabs>
        <w:tab w:val="center" w:pos="4680"/>
        <w:tab w:val="right" w:pos="9360"/>
      </w:tabs>
    </w:pPr>
  </w:style>
  <w:style w:type="character" w:customStyle="1" w:styleId="FooterChar">
    <w:name w:val="Footer Char"/>
    <w:basedOn w:val="DefaultParagraphFont"/>
    <w:link w:val="Footer"/>
    <w:uiPriority w:val="99"/>
    <w:rsid w:val="0032754E"/>
    <w:rPr>
      <w:rFonts w:ascii="Times New Roman" w:eastAsia="Times New Roman" w:hAnsi="Times New Roman" w:cs="Times New Roman"/>
    </w:rPr>
  </w:style>
  <w:style w:type="paragraph" w:styleId="Header">
    <w:name w:val="header"/>
    <w:basedOn w:val="Normal"/>
    <w:link w:val="HeaderChar"/>
    <w:uiPriority w:val="99"/>
    <w:unhideWhenUsed/>
    <w:rsid w:val="00A84ECF"/>
    <w:pPr>
      <w:tabs>
        <w:tab w:val="center" w:pos="4680"/>
        <w:tab w:val="right" w:pos="9360"/>
      </w:tabs>
    </w:pPr>
  </w:style>
  <w:style w:type="character" w:customStyle="1" w:styleId="HeaderChar">
    <w:name w:val="Header Char"/>
    <w:basedOn w:val="DefaultParagraphFont"/>
    <w:link w:val="Header"/>
    <w:uiPriority w:val="99"/>
    <w:rsid w:val="00A84ECF"/>
    <w:rPr>
      <w:rFonts w:ascii="Times New Roman" w:eastAsia="Times New Roman" w:hAnsi="Times New Roman" w:cs="Times New Roman"/>
    </w:rPr>
  </w:style>
  <w:style w:type="paragraph" w:styleId="Revision">
    <w:name w:val="Revision"/>
    <w:hidden/>
    <w:uiPriority w:val="99"/>
    <w:semiHidden/>
    <w:rsid w:val="002C4EC4"/>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C4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E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522463">
      <w:bodyDiv w:val="1"/>
      <w:marLeft w:val="0"/>
      <w:marRight w:val="0"/>
      <w:marTop w:val="0"/>
      <w:marBottom w:val="0"/>
      <w:divBdr>
        <w:top w:val="none" w:sz="0" w:space="0" w:color="auto"/>
        <w:left w:val="none" w:sz="0" w:space="0" w:color="auto"/>
        <w:bottom w:val="none" w:sz="0" w:space="0" w:color="auto"/>
        <w:right w:val="none" w:sz="0" w:space="0" w:color="auto"/>
      </w:divBdr>
    </w:div>
    <w:div w:id="1990934574">
      <w:bodyDiv w:val="1"/>
      <w:marLeft w:val="0"/>
      <w:marRight w:val="0"/>
      <w:marTop w:val="0"/>
      <w:marBottom w:val="0"/>
      <w:divBdr>
        <w:top w:val="none" w:sz="0" w:space="0" w:color="auto"/>
        <w:left w:val="none" w:sz="0" w:space="0" w:color="auto"/>
        <w:bottom w:val="none" w:sz="0" w:space="0" w:color="auto"/>
        <w:right w:val="none" w:sz="0" w:space="0" w:color="auto"/>
      </w:divBdr>
    </w:div>
    <w:div w:id="21303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DC97F1E85AD4EAD63A05E559A1786" ma:contentTypeVersion="0" ma:contentTypeDescription="Create a new document." ma:contentTypeScope="" ma:versionID="0e5732edb8760c8bc3ec3cdede821ff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6F0A6-F725-4614-A294-00F5D7724FAB}"/>
</file>

<file path=customXml/itemProps2.xml><?xml version="1.0" encoding="utf-8"?>
<ds:datastoreItem xmlns:ds="http://schemas.openxmlformats.org/officeDocument/2006/customXml" ds:itemID="{65F63DD0-BBB1-4620-85C0-281CC31EFD92}"/>
</file>

<file path=customXml/itemProps3.xml><?xml version="1.0" encoding="utf-8"?>
<ds:datastoreItem xmlns:ds="http://schemas.openxmlformats.org/officeDocument/2006/customXml" ds:itemID="{0F67DFC4-7856-407B-8042-10EE717D4B13}"/>
</file>

<file path=docProps/app.xml><?xml version="1.0" encoding="utf-8"?>
<Properties xmlns="http://schemas.openxmlformats.org/officeDocument/2006/extended-properties" xmlns:vt="http://schemas.openxmlformats.org/officeDocument/2006/docPropsVTypes">
  <Template>Normal</Template>
  <TotalTime>10</TotalTime>
  <Pages>2</Pages>
  <Words>421</Words>
  <Characters>2403</Characters>
  <Application>Microsoft Office Word</Application>
  <DocSecurity>0</DocSecurity>
  <PresentationFormat>15|.DOCX</PresentationFormat>
  <Lines>20</Lines>
  <Paragraphs>5</Paragraphs>
  <ScaleCrop>false</ScaleCrop>
  <HeadingPairs>
    <vt:vector size="2" baseType="variant">
      <vt:variant>
        <vt:lpstr>Title</vt:lpstr>
      </vt:variant>
      <vt:variant>
        <vt:i4>1</vt:i4>
      </vt:variant>
    </vt:vector>
  </HeadingPairs>
  <TitlesOfParts>
    <vt:vector size="1" baseType="lpstr">
      <vt:lpstr>Naming Opportunity-Mo Agroforestry Research Site (Clean) (00227359).DOCX</vt:lpstr>
    </vt:vector>
  </TitlesOfParts>
  <Company>University of Missouri-Columbia</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Naming Opportunity-Mo Agroforestry Research Site (Clean) (00227359).DOCX</dc:title>
  <dc:subject/>
  <dc:creator>Blevins, Michelle M.</dc:creator>
  <cp:keywords/>
  <dc:description/>
  <cp:lastModifiedBy>Slayton, Valerie</cp:lastModifiedBy>
  <cp:revision>3</cp:revision>
  <cp:lastPrinted>2019-07-22T21:01:00Z</cp:lastPrinted>
  <dcterms:created xsi:type="dcterms:W3CDTF">2019-07-29T17:38:00Z</dcterms:created>
  <dcterms:modified xsi:type="dcterms:W3CDTF">2019-07-29T17:47:00Z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0x010100D5EDC97F1E85AD4EAD63A05E559A1786</vt:lpwstr>
  </property>
</Properties>
</file>